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C60B" w14:textId="360DD7AF" w:rsidR="00DB1297" w:rsidRPr="00D76EA3" w:rsidRDefault="00DB1297" w:rsidP="00D76EA3">
      <w:pPr>
        <w:pStyle w:val="a4"/>
        <w:snapToGrid w:val="0"/>
        <w:spacing w:line="400" w:lineRule="atLeas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輔仁大學大傳所碩士班課程規劃</w:t>
      </w:r>
      <w:bookmarkStart w:id="0" w:name="_Hlk178844283"/>
      <w:r w:rsidR="002120F3">
        <w:rPr>
          <w:rFonts w:ascii="Times New Roman" w:eastAsia="標楷體" w:hAnsi="Times New Roman" w:cs="Times New Roman" w:hint="eastAsia"/>
          <w:b/>
          <w:sz w:val="28"/>
          <w:szCs w:val="28"/>
        </w:rPr>
        <w:t>_110</w:t>
      </w:r>
      <w:r w:rsidR="00094D3F">
        <w:rPr>
          <w:rFonts w:ascii="Times New Roman" w:eastAsia="標楷體" w:hAnsi="Times New Roman" w:cs="Times New Roman"/>
          <w:b/>
          <w:sz w:val="28"/>
          <w:szCs w:val="28"/>
        </w:rPr>
        <w:t>-112</w:t>
      </w:r>
      <w:r w:rsidR="002120F3">
        <w:rPr>
          <w:rFonts w:ascii="Times New Roman" w:eastAsia="標楷體" w:hAnsi="Times New Roman" w:cs="Times New Roman" w:hint="eastAsia"/>
          <w:b/>
          <w:sz w:val="28"/>
          <w:szCs w:val="28"/>
        </w:rPr>
        <w:t>學年</w:t>
      </w:r>
    </w:p>
    <w:p w14:paraId="28EFA950" w14:textId="77777777" w:rsidR="00D76EA3" w:rsidRPr="00D76EA3" w:rsidRDefault="00D76EA3" w:rsidP="00D76EA3">
      <w:pPr>
        <w:pStyle w:val="a4"/>
        <w:snapToGrid w:val="0"/>
        <w:spacing w:line="400" w:lineRule="exac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Curriculum Planning for the Graduate of Mass Communication</w:t>
      </w:r>
    </w:p>
    <w:p w14:paraId="23200428" w14:textId="2E228009" w:rsidR="00D76EA3" w:rsidRPr="00D76EA3" w:rsidRDefault="00D76EA3" w:rsidP="004F26B7">
      <w:pPr>
        <w:pStyle w:val="a4"/>
        <w:snapToGrid w:val="0"/>
        <w:spacing w:afterLines="50" w:after="180" w:line="400" w:lineRule="atLeas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Fu Jen Catholic University</w:t>
      </w:r>
    </w:p>
    <w:tbl>
      <w:tblPr>
        <w:tblW w:w="6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7"/>
        <w:gridCol w:w="4163"/>
        <w:gridCol w:w="1004"/>
        <w:gridCol w:w="819"/>
      </w:tblGrid>
      <w:tr w:rsidR="00417A59" w:rsidRPr="002120F3" w14:paraId="6C6C27C2" w14:textId="3F691C73" w:rsidTr="008D1E76">
        <w:trPr>
          <w:jc w:val="center"/>
        </w:trPr>
        <w:tc>
          <w:tcPr>
            <w:tcW w:w="209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0"/>
          <w:p w14:paraId="17CECFE4"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課程規劃</w:t>
            </w:r>
          </w:p>
          <w:p w14:paraId="7871868F" w14:textId="6AD1A696"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 Plan</w:t>
            </w:r>
          </w:p>
        </w:tc>
        <w:tc>
          <w:tcPr>
            <w:tcW w:w="20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0DAC33"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課程名稱</w:t>
            </w:r>
          </w:p>
          <w:p w14:paraId="364411D0" w14:textId="3C93DB6C"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284CEE"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選別</w:t>
            </w:r>
          </w:p>
          <w:p w14:paraId="73076194" w14:textId="4E384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R/E</w:t>
            </w:r>
          </w:p>
        </w:tc>
        <w:tc>
          <w:tcPr>
            <w:tcW w:w="39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3F83D0"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學分</w:t>
            </w:r>
          </w:p>
          <w:p w14:paraId="3E754643" w14:textId="724C1130"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Credits</w:t>
            </w:r>
          </w:p>
        </w:tc>
      </w:tr>
      <w:tr w:rsidR="00417A59" w:rsidRPr="002120F3" w14:paraId="63E7C7C7" w14:textId="3415540E" w:rsidTr="008D1E76">
        <w:trPr>
          <w:jc w:val="center"/>
        </w:trPr>
        <w:tc>
          <w:tcPr>
            <w:tcW w:w="2090" w:type="pct"/>
            <w:vMerge w:val="restart"/>
            <w:tcBorders>
              <w:top w:val="single" w:sz="4" w:space="0" w:color="auto"/>
              <w:left w:val="single" w:sz="4" w:space="0" w:color="auto"/>
              <w:right w:val="single" w:sz="4" w:space="0" w:color="auto"/>
            </w:tcBorders>
            <w:hideMark/>
          </w:tcPr>
          <w:p w14:paraId="6B8124C5" w14:textId="546C95A6" w:rsidR="00417A59" w:rsidRPr="00417A59" w:rsidRDefault="00632730" w:rsidP="00417A59">
            <w:pPr>
              <w:pStyle w:val="a3"/>
              <w:numPr>
                <w:ilvl w:val="0"/>
                <w:numId w:val="23"/>
              </w:num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b/>
                <w:sz w:val="26"/>
                <w:szCs w:val="26"/>
              </w:rPr>
              <w:t>基礎課程</w:t>
            </w:r>
          </w:p>
          <w:p w14:paraId="0C3E3D75" w14:textId="27E3DC24" w:rsidR="00632730" w:rsidRPr="00417A59" w:rsidRDefault="00632730" w:rsidP="00417A59">
            <w:pPr>
              <w:pStyle w:val="a3"/>
              <w:adjustRightInd w:val="0"/>
              <w:snapToGrid w:val="0"/>
              <w:ind w:left="720"/>
              <w:rPr>
                <w:rFonts w:ascii="Times New Roman" w:eastAsia="標楷體" w:hAnsi="Times New Roman" w:cs="Times New Roman"/>
                <w:b/>
                <w:bCs/>
                <w:sz w:val="26"/>
                <w:szCs w:val="26"/>
              </w:rPr>
            </w:pPr>
            <w:r w:rsidRPr="00417A59">
              <w:rPr>
                <w:rFonts w:ascii="Times New Roman" w:eastAsia="標楷體" w:hAnsi="Times New Roman" w:cs="Times New Roman"/>
                <w:b/>
                <w:bCs/>
                <w:spacing w:val="15"/>
                <w:kern w:val="0"/>
                <w:sz w:val="26"/>
                <w:szCs w:val="26"/>
              </w:rPr>
              <w:t>Foundation Courses</w:t>
            </w:r>
          </w:p>
          <w:p w14:paraId="13339A0A" w14:textId="77777777" w:rsidR="00632730" w:rsidRPr="00417A59" w:rsidRDefault="00632730" w:rsidP="002120F3">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本所基礎課程的規劃目標在於提供傳播領域的基本知識及傳播研究概念與能力的訓練，作為進一步研究各個傳播領域的基礎。</w:t>
            </w:r>
          </w:p>
          <w:p w14:paraId="4AC86E45" w14:textId="6BCC4DA8" w:rsidR="00632730" w:rsidRPr="00417A59" w:rsidRDefault="00632730" w:rsidP="002120F3">
            <w:pPr>
              <w:widowControl/>
              <w:shd w:val="clear" w:color="auto" w:fill="FFFFFF"/>
              <w:snapToGrid w:val="0"/>
              <w:rPr>
                <w:rFonts w:ascii="Times New Roman" w:eastAsia="標楷體" w:hAnsi="Times New Roman" w:cs="Times New Roman"/>
                <w:spacing w:val="15"/>
                <w:kern w:val="0"/>
                <w:sz w:val="26"/>
                <w:szCs w:val="26"/>
              </w:rPr>
            </w:pPr>
            <w:r w:rsidRPr="00417A59">
              <w:rPr>
                <w:rFonts w:ascii="Times New Roman" w:eastAsia="標楷體" w:hAnsi="Times New Roman" w:cs="Times New Roman"/>
                <w:spacing w:val="15"/>
                <w:kern w:val="0"/>
                <w:sz w:val="26"/>
                <w:szCs w:val="26"/>
                <w:shd w:val="clear" w:color="auto" w:fill="FFFFFF"/>
              </w:rPr>
              <w:t>The foundation courses are aimed at providing basic knowledge in the field of communication and cultivating research concept and capacity as a basis for further exploring individual topics.</w:t>
            </w:r>
          </w:p>
        </w:tc>
        <w:tc>
          <w:tcPr>
            <w:tcW w:w="2024" w:type="pct"/>
            <w:tcBorders>
              <w:top w:val="single" w:sz="4" w:space="0" w:color="auto"/>
              <w:left w:val="single" w:sz="4" w:space="0" w:color="auto"/>
              <w:bottom w:val="single" w:sz="4" w:space="0" w:color="auto"/>
              <w:right w:val="single" w:sz="4" w:space="0" w:color="auto"/>
            </w:tcBorders>
            <w:hideMark/>
          </w:tcPr>
          <w:p w14:paraId="063B32D3" w14:textId="0636AF22"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研究所入門</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Introduction to Graduate School</w:t>
            </w:r>
          </w:p>
          <w:p w14:paraId="322C2DDA" w14:textId="2358F11E" w:rsidR="00632730" w:rsidRPr="00417A59" w:rsidRDefault="00632730" w:rsidP="002120F3">
            <w:pPr>
              <w:pStyle w:val="Web"/>
              <w:snapToGrid w:val="0"/>
              <w:spacing w:beforeAutospacing="0" w:afterAutospacing="0"/>
              <w:ind w:left="284"/>
              <w:rPr>
                <w:rFonts w:ascii="Times New Roman" w:eastAsia="標楷體" w:hAnsi="Times New Roman" w:cs="Times New Roman"/>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50CAAC87" w14:textId="5CAB55FC"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1465D27" w14:textId="20347B08"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1</w:t>
            </w:r>
          </w:p>
        </w:tc>
      </w:tr>
      <w:tr w:rsidR="00417A59" w:rsidRPr="002120F3" w14:paraId="6807E5FE" w14:textId="73706041" w:rsidTr="008D1E76">
        <w:trPr>
          <w:jc w:val="center"/>
        </w:trPr>
        <w:tc>
          <w:tcPr>
            <w:tcW w:w="2090" w:type="pct"/>
            <w:vMerge/>
            <w:tcBorders>
              <w:left w:val="single" w:sz="4" w:space="0" w:color="auto"/>
              <w:right w:val="single" w:sz="4" w:space="0" w:color="auto"/>
            </w:tcBorders>
          </w:tcPr>
          <w:p w14:paraId="6DB1FBBD"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01385FB" w14:textId="649FDC53"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傳播理論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Mass Communication Theories</w:t>
            </w:r>
          </w:p>
        </w:tc>
        <w:tc>
          <w:tcPr>
            <w:tcW w:w="488" w:type="pct"/>
            <w:tcBorders>
              <w:top w:val="single" w:sz="4" w:space="0" w:color="auto"/>
              <w:left w:val="single" w:sz="4" w:space="0" w:color="auto"/>
              <w:bottom w:val="single" w:sz="4" w:space="0" w:color="auto"/>
              <w:right w:val="single" w:sz="4" w:space="0" w:color="auto"/>
            </w:tcBorders>
            <w:vAlign w:val="center"/>
          </w:tcPr>
          <w:p w14:paraId="461C5F2F" w14:textId="2B1EED1F"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9299B92" w14:textId="1860B5AE"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09CF88D0" w14:textId="0C41F08E" w:rsidTr="008D1E76">
        <w:trPr>
          <w:jc w:val="center"/>
        </w:trPr>
        <w:tc>
          <w:tcPr>
            <w:tcW w:w="2090" w:type="pct"/>
            <w:vMerge/>
            <w:tcBorders>
              <w:left w:val="single" w:sz="4" w:space="0" w:color="auto"/>
              <w:right w:val="single" w:sz="4" w:space="0" w:color="auto"/>
            </w:tcBorders>
          </w:tcPr>
          <w:p w14:paraId="07A78A2F"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6CE665" w14:textId="63D44C2B"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傳播研究方法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Research Methods in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4432931D" w14:textId="09FD4C59"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58B63A1F" w14:textId="51268A8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14D0792D" w14:textId="61E09C7D" w:rsidTr="008D1E76">
        <w:trPr>
          <w:jc w:val="center"/>
        </w:trPr>
        <w:tc>
          <w:tcPr>
            <w:tcW w:w="2090" w:type="pct"/>
            <w:vMerge/>
            <w:tcBorders>
              <w:left w:val="single" w:sz="4" w:space="0" w:color="auto"/>
              <w:right w:val="single" w:sz="4" w:space="0" w:color="auto"/>
            </w:tcBorders>
          </w:tcPr>
          <w:p w14:paraId="545959B8"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02D3DCF6" w14:textId="7241803E"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傳播統計與量化分析</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Communication Statistics &amp; Quantitative Analysis</w:t>
            </w:r>
          </w:p>
        </w:tc>
        <w:tc>
          <w:tcPr>
            <w:tcW w:w="488" w:type="pct"/>
            <w:tcBorders>
              <w:top w:val="single" w:sz="4" w:space="0" w:color="auto"/>
              <w:left w:val="single" w:sz="4" w:space="0" w:color="auto"/>
              <w:bottom w:val="single" w:sz="4" w:space="0" w:color="auto"/>
              <w:right w:val="single" w:sz="4" w:space="0" w:color="auto"/>
            </w:tcBorders>
            <w:vAlign w:val="center"/>
          </w:tcPr>
          <w:p w14:paraId="0A22EAA8" w14:textId="13FCBC03"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05077" w14:textId="4E9D77B2"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4777FE33" w14:textId="387B8BAB" w:rsidTr="008D1E76">
        <w:trPr>
          <w:jc w:val="center"/>
        </w:trPr>
        <w:tc>
          <w:tcPr>
            <w:tcW w:w="2090" w:type="pct"/>
            <w:vMerge/>
            <w:tcBorders>
              <w:left w:val="single" w:sz="4" w:space="0" w:color="auto"/>
              <w:bottom w:val="single" w:sz="4" w:space="0" w:color="auto"/>
              <w:right w:val="single" w:sz="4" w:space="0" w:color="auto"/>
            </w:tcBorders>
          </w:tcPr>
          <w:p w14:paraId="6BFCFA3C"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318BF83" w14:textId="2626C43F"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質化研究與方法論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Methology and Qualitative Research</w:t>
            </w:r>
          </w:p>
        </w:tc>
        <w:tc>
          <w:tcPr>
            <w:tcW w:w="488" w:type="pct"/>
            <w:tcBorders>
              <w:top w:val="single" w:sz="4" w:space="0" w:color="auto"/>
              <w:left w:val="single" w:sz="4" w:space="0" w:color="auto"/>
              <w:bottom w:val="single" w:sz="4" w:space="0" w:color="auto"/>
              <w:right w:val="single" w:sz="4" w:space="0" w:color="auto"/>
            </w:tcBorders>
            <w:vAlign w:val="center"/>
          </w:tcPr>
          <w:p w14:paraId="6C1D0691" w14:textId="1E314A25"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6A9FFED" w14:textId="0A05BDE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A4DDE07" w14:textId="72CC2679" w:rsidTr="008D1E76">
        <w:trPr>
          <w:jc w:val="center"/>
        </w:trPr>
        <w:tc>
          <w:tcPr>
            <w:tcW w:w="2090" w:type="pct"/>
            <w:vMerge w:val="restart"/>
            <w:tcBorders>
              <w:top w:val="single" w:sz="4" w:space="0" w:color="auto"/>
              <w:left w:val="single" w:sz="4" w:space="0" w:color="auto"/>
              <w:right w:val="single" w:sz="4" w:space="0" w:color="auto"/>
            </w:tcBorders>
            <w:hideMark/>
          </w:tcPr>
          <w:p w14:paraId="18DB15E6" w14:textId="77777777" w:rsidR="00417A59" w:rsidRDefault="000D4D21" w:rsidP="002120F3">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二、</w:t>
            </w:r>
            <w:r w:rsidRPr="00417A59">
              <w:rPr>
                <w:rFonts w:ascii="Times New Roman" w:eastAsia="標楷體" w:hAnsi="Times New Roman" w:cs="Times New Roman"/>
                <w:b/>
                <w:sz w:val="26"/>
                <w:szCs w:val="26"/>
              </w:rPr>
              <w:t>語文傳播與文化</w:t>
            </w:r>
          </w:p>
          <w:p w14:paraId="4DE8175A" w14:textId="184E8F45" w:rsidR="000D4D21" w:rsidRPr="00417A59" w:rsidRDefault="000D4D21" w:rsidP="002120F3">
            <w:pPr>
              <w:adjustRightInd w:val="0"/>
              <w:snapToGrid w:val="0"/>
              <w:rPr>
                <w:rFonts w:ascii="Times New Roman" w:eastAsia="標楷體" w:hAnsi="Times New Roman" w:cs="Times New Roman"/>
                <w:b/>
                <w:bCs/>
                <w:sz w:val="26"/>
                <w:szCs w:val="26"/>
              </w:rPr>
            </w:pPr>
            <w:r w:rsidRPr="00417A59">
              <w:rPr>
                <w:rFonts w:ascii="Times New Roman" w:eastAsia="標楷體" w:hAnsi="Times New Roman" w:cs="Times New Roman"/>
                <w:b/>
                <w:bCs/>
                <w:spacing w:val="15"/>
                <w:sz w:val="26"/>
                <w:szCs w:val="26"/>
                <w:shd w:val="clear" w:color="auto" w:fill="FFFFFF"/>
              </w:rPr>
              <w:t>Speech Communication and Cultural Studies</w:t>
            </w:r>
          </w:p>
          <w:p w14:paraId="04F9F701" w14:textId="77777777" w:rsidR="000D4D21" w:rsidRPr="00417A59" w:rsidRDefault="000D4D21" w:rsidP="002120F3">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本系列課程的目標在於經由對語言符號在傳播過程中的特性、再現與功能的探討，提升學者對於語言符號的認知與敏感度，培養解析文化現象的能力，進而揭露語言符號背後的文化意涵與實踐政治。</w:t>
            </w:r>
          </w:p>
          <w:p w14:paraId="5BD4AD69" w14:textId="0C556DCB" w:rsidR="000D4D21" w:rsidRPr="00417A59" w:rsidRDefault="000D4D21" w:rsidP="002120F3">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t>These courses are aimed at exploring the nature, representation and function of language symbols in the process of communication, in order to enhance a scholar’s awareness and sensation of language symbols and facilitate the ability to analysis the culture phenomena, and in turn to explore the culture meaning and political practice of language symbols.</w:t>
            </w:r>
          </w:p>
        </w:tc>
        <w:tc>
          <w:tcPr>
            <w:tcW w:w="2024" w:type="pct"/>
            <w:tcBorders>
              <w:top w:val="single" w:sz="4" w:space="0" w:color="auto"/>
              <w:left w:val="single" w:sz="4" w:space="0" w:color="auto"/>
              <w:bottom w:val="single" w:sz="4" w:space="0" w:color="auto"/>
              <w:right w:val="single" w:sz="4" w:space="0" w:color="auto"/>
            </w:tcBorders>
            <w:hideMark/>
          </w:tcPr>
          <w:p w14:paraId="090D8D8F" w14:textId="38B2988E"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語藝批評方法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Methods of Rhetorical Criticism</w:t>
            </w:r>
          </w:p>
          <w:p w14:paraId="6A8F6621" w14:textId="19DD3330"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63A38AE7" w14:textId="63F629E8"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CECE812" w14:textId="195349BF"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864B04E" w14:textId="77777777" w:rsidTr="008D1E76">
        <w:trPr>
          <w:jc w:val="center"/>
        </w:trPr>
        <w:tc>
          <w:tcPr>
            <w:tcW w:w="2090" w:type="pct"/>
            <w:vMerge/>
            <w:tcBorders>
              <w:left w:val="single" w:sz="4" w:space="0" w:color="auto"/>
              <w:right w:val="single" w:sz="4" w:space="0" w:color="auto"/>
            </w:tcBorders>
          </w:tcPr>
          <w:p w14:paraId="018253F6"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FDBB272" w14:textId="5EAD34BE"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新聞學專題</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Journalism</w:t>
            </w:r>
          </w:p>
        </w:tc>
        <w:tc>
          <w:tcPr>
            <w:tcW w:w="488" w:type="pct"/>
            <w:tcBorders>
              <w:top w:val="single" w:sz="4" w:space="0" w:color="auto"/>
              <w:left w:val="single" w:sz="4" w:space="0" w:color="auto"/>
              <w:bottom w:val="single" w:sz="4" w:space="0" w:color="auto"/>
              <w:right w:val="single" w:sz="4" w:space="0" w:color="auto"/>
            </w:tcBorders>
            <w:vAlign w:val="center"/>
          </w:tcPr>
          <w:p w14:paraId="2A59B474" w14:textId="75B29985"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4E6CA0E1" w14:textId="2B40DD69"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3BF60FB" w14:textId="77777777" w:rsidTr="008D1E76">
        <w:trPr>
          <w:jc w:val="center"/>
        </w:trPr>
        <w:tc>
          <w:tcPr>
            <w:tcW w:w="2090" w:type="pct"/>
            <w:vMerge/>
            <w:tcBorders>
              <w:left w:val="single" w:sz="4" w:space="0" w:color="auto"/>
              <w:right w:val="single" w:sz="4" w:space="0" w:color="auto"/>
            </w:tcBorders>
          </w:tcPr>
          <w:p w14:paraId="3502A3A9"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4D644F" w14:textId="6D5EE85F"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華語電影專題</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文化產業與策展論述</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Chinese Cinemas: Industry, Curatorship and Discourse</w:t>
            </w:r>
          </w:p>
        </w:tc>
        <w:tc>
          <w:tcPr>
            <w:tcW w:w="488" w:type="pct"/>
            <w:tcBorders>
              <w:top w:val="single" w:sz="4" w:space="0" w:color="auto"/>
              <w:left w:val="single" w:sz="4" w:space="0" w:color="auto"/>
              <w:bottom w:val="single" w:sz="4" w:space="0" w:color="auto"/>
              <w:right w:val="single" w:sz="4" w:space="0" w:color="auto"/>
            </w:tcBorders>
            <w:vAlign w:val="center"/>
          </w:tcPr>
          <w:p w14:paraId="510E0357" w14:textId="5FB8874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1A2F5E0" w14:textId="727AC162"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BB0CB9F" w14:textId="77777777" w:rsidTr="008D1E76">
        <w:trPr>
          <w:jc w:val="center"/>
        </w:trPr>
        <w:tc>
          <w:tcPr>
            <w:tcW w:w="2090" w:type="pct"/>
            <w:vMerge/>
            <w:tcBorders>
              <w:left w:val="single" w:sz="4" w:space="0" w:color="auto"/>
              <w:right w:val="single" w:sz="4" w:space="0" w:color="auto"/>
            </w:tcBorders>
          </w:tcPr>
          <w:p w14:paraId="478A17B3"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7BBFF41" w14:textId="4FC62BB2"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國際傳播專題</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全英語</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International Communication-Course in English</w:t>
            </w:r>
          </w:p>
        </w:tc>
        <w:tc>
          <w:tcPr>
            <w:tcW w:w="488" w:type="pct"/>
            <w:tcBorders>
              <w:top w:val="single" w:sz="4" w:space="0" w:color="auto"/>
              <w:left w:val="single" w:sz="4" w:space="0" w:color="auto"/>
              <w:bottom w:val="single" w:sz="4" w:space="0" w:color="auto"/>
              <w:right w:val="single" w:sz="4" w:space="0" w:color="auto"/>
            </w:tcBorders>
            <w:vAlign w:val="center"/>
          </w:tcPr>
          <w:p w14:paraId="223C1032" w14:textId="452A1099"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5460EC0" w14:textId="6A59CE4D"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F92565C" w14:textId="77777777" w:rsidTr="008D1E76">
        <w:trPr>
          <w:jc w:val="center"/>
        </w:trPr>
        <w:tc>
          <w:tcPr>
            <w:tcW w:w="2090" w:type="pct"/>
            <w:vMerge/>
            <w:tcBorders>
              <w:left w:val="single" w:sz="4" w:space="0" w:color="auto"/>
              <w:right w:val="single" w:sz="4" w:space="0" w:color="auto"/>
            </w:tcBorders>
          </w:tcPr>
          <w:p w14:paraId="5B74A93D"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258D6759" w14:textId="7CB89201"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電影與性別研究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Film and Gender Studies</w:t>
            </w:r>
          </w:p>
        </w:tc>
        <w:tc>
          <w:tcPr>
            <w:tcW w:w="488" w:type="pct"/>
            <w:tcBorders>
              <w:top w:val="single" w:sz="4" w:space="0" w:color="auto"/>
              <w:left w:val="single" w:sz="4" w:space="0" w:color="auto"/>
              <w:bottom w:val="single" w:sz="4" w:space="0" w:color="auto"/>
              <w:right w:val="single" w:sz="4" w:space="0" w:color="auto"/>
            </w:tcBorders>
            <w:vAlign w:val="center"/>
          </w:tcPr>
          <w:p w14:paraId="3CC2812C" w14:textId="79CB8FB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CE24589" w14:textId="124C4A00"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60973F9B" w14:textId="77777777" w:rsidTr="008D1E76">
        <w:trPr>
          <w:jc w:val="center"/>
        </w:trPr>
        <w:tc>
          <w:tcPr>
            <w:tcW w:w="2090" w:type="pct"/>
            <w:vMerge/>
            <w:tcBorders>
              <w:left w:val="single" w:sz="4" w:space="0" w:color="auto"/>
              <w:bottom w:val="single" w:sz="4" w:space="0" w:color="auto"/>
              <w:right w:val="single" w:sz="4" w:space="0" w:color="auto"/>
            </w:tcBorders>
          </w:tcPr>
          <w:p w14:paraId="62D0FD67"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0696357C" w14:textId="148DAFD1"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影像文化研究</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全英語</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Popular Images and Cultural Studies-Course in English</w:t>
            </w:r>
          </w:p>
        </w:tc>
        <w:tc>
          <w:tcPr>
            <w:tcW w:w="488" w:type="pct"/>
            <w:tcBorders>
              <w:top w:val="single" w:sz="4" w:space="0" w:color="auto"/>
              <w:left w:val="single" w:sz="4" w:space="0" w:color="auto"/>
              <w:bottom w:val="single" w:sz="4" w:space="0" w:color="auto"/>
              <w:right w:val="single" w:sz="4" w:space="0" w:color="auto"/>
            </w:tcBorders>
            <w:vAlign w:val="center"/>
          </w:tcPr>
          <w:p w14:paraId="4B8E7A16" w14:textId="1154C93B"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3EE85FE" w14:textId="13BF964E"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1715723" w14:textId="478FB49C" w:rsidTr="008D1E76">
        <w:trPr>
          <w:jc w:val="center"/>
        </w:trPr>
        <w:tc>
          <w:tcPr>
            <w:tcW w:w="2090" w:type="pct"/>
            <w:vMerge w:val="restart"/>
            <w:tcBorders>
              <w:top w:val="single" w:sz="4" w:space="0" w:color="auto"/>
              <w:left w:val="single" w:sz="4" w:space="0" w:color="auto"/>
              <w:right w:val="single" w:sz="4" w:space="0" w:color="auto"/>
            </w:tcBorders>
            <w:hideMark/>
          </w:tcPr>
          <w:p w14:paraId="02692F77" w14:textId="77777777" w:rsidR="008D1E76" w:rsidRDefault="008D1E76" w:rsidP="008D1E76">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三、</w:t>
            </w:r>
            <w:r w:rsidRPr="00417A59">
              <w:rPr>
                <w:rFonts w:ascii="Times New Roman" w:eastAsia="標楷體" w:hAnsi="Times New Roman" w:cs="Times New Roman"/>
                <w:b/>
                <w:sz w:val="26"/>
                <w:szCs w:val="26"/>
              </w:rPr>
              <w:t>公共傳播</w:t>
            </w:r>
          </w:p>
          <w:p w14:paraId="384B6472" w14:textId="1AB08EF6" w:rsidR="008D1E76" w:rsidRPr="00417A59" w:rsidRDefault="008D1E76" w:rsidP="008D1E76">
            <w:pPr>
              <w:adjustRightInd w:val="0"/>
              <w:snapToGrid w:val="0"/>
              <w:rPr>
                <w:rFonts w:ascii="Times New Roman" w:eastAsia="標楷體" w:hAnsi="Times New Roman" w:cs="Times New Roman"/>
                <w:b/>
                <w:bCs/>
                <w:sz w:val="26"/>
                <w:szCs w:val="26"/>
              </w:rPr>
            </w:pPr>
            <w:r w:rsidRPr="00417A59">
              <w:rPr>
                <w:rFonts w:ascii="Times New Roman" w:eastAsia="標楷體" w:hAnsi="Times New Roman" w:cs="Times New Roman"/>
                <w:b/>
                <w:bCs/>
                <w:spacing w:val="15"/>
                <w:sz w:val="26"/>
                <w:szCs w:val="26"/>
                <w:shd w:val="clear" w:color="auto" w:fill="FFFFFF"/>
              </w:rPr>
              <w:t>Public Communications</w:t>
            </w:r>
          </w:p>
          <w:p w14:paraId="5B80D764" w14:textId="77777777" w:rsidR="008D1E76" w:rsidRPr="00417A59" w:rsidRDefault="008D1E76" w:rsidP="008D1E76">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本系列課程屬於應用傳播（</w:t>
            </w:r>
            <w:r w:rsidRPr="00417A59">
              <w:rPr>
                <w:rFonts w:ascii="Times New Roman" w:eastAsia="標楷體" w:hAnsi="Times New Roman" w:cs="Times New Roman"/>
                <w:sz w:val="26"/>
                <w:szCs w:val="26"/>
              </w:rPr>
              <w:t>applied communication</w:t>
            </w:r>
            <w:r w:rsidRPr="00417A59">
              <w:rPr>
                <w:rFonts w:ascii="Times New Roman" w:eastAsia="標楷體" w:hAnsi="Times New Roman" w:cs="Times New Roman"/>
                <w:sz w:val="26"/>
                <w:szCs w:val="26"/>
              </w:rPr>
              <w:t>）的範疇，課程目標在</w:t>
            </w:r>
            <w:r w:rsidRPr="00417A59">
              <w:rPr>
                <w:rFonts w:ascii="Times New Roman" w:eastAsia="標楷體" w:hAnsi="Times New Roman" w:cs="Times New Roman"/>
                <w:sz w:val="26"/>
                <w:szCs w:val="26"/>
              </w:rPr>
              <w:lastRenderedPageBreak/>
              <w:t>於探討傳播實務在不同領域、不同組織所衍生的溝通與管理議題。</w:t>
            </w:r>
          </w:p>
          <w:p w14:paraId="3F594234" w14:textId="1A4EC8FA" w:rsidR="008D1E76" w:rsidRPr="00417A59" w:rsidRDefault="008D1E76" w:rsidP="008D1E76">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t>These courses belong to the domain of applied communication, and are aimed at exploring the practical aspects of communication and the related issues of communication and management in different fields and organizations.</w:t>
            </w:r>
          </w:p>
        </w:tc>
        <w:tc>
          <w:tcPr>
            <w:tcW w:w="2024" w:type="pct"/>
            <w:tcBorders>
              <w:top w:val="single" w:sz="4" w:space="0" w:color="auto"/>
              <w:left w:val="single" w:sz="4" w:space="0" w:color="auto"/>
              <w:bottom w:val="single" w:sz="4" w:space="0" w:color="auto"/>
              <w:right w:val="single" w:sz="4" w:space="0" w:color="auto"/>
            </w:tcBorders>
            <w:hideMark/>
          </w:tcPr>
          <w:p w14:paraId="266B0853" w14:textId="4AD044D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lastRenderedPageBreak/>
              <w:t>網路行銷研究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Internet Marketing Research</w:t>
            </w:r>
          </w:p>
          <w:p w14:paraId="06A84BD1" w14:textId="1FCC1C07"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7A54DFDB" w14:textId="3451883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F1095BE" w14:textId="5924799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C74ABC4" w14:textId="77777777" w:rsidTr="008D1E76">
        <w:trPr>
          <w:jc w:val="center"/>
        </w:trPr>
        <w:tc>
          <w:tcPr>
            <w:tcW w:w="2090" w:type="pct"/>
            <w:vMerge/>
            <w:tcBorders>
              <w:left w:val="single" w:sz="4" w:space="0" w:color="auto"/>
              <w:right w:val="single" w:sz="4" w:space="0" w:color="auto"/>
            </w:tcBorders>
          </w:tcPr>
          <w:p w14:paraId="0058A738"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413B51B" w14:textId="2336DC1C"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傳播心理學</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The Psychology of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6317BBA1" w14:textId="36E2777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085EA27" w14:textId="675A0E1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2796D52" w14:textId="77777777" w:rsidTr="008D1E76">
        <w:trPr>
          <w:jc w:val="center"/>
        </w:trPr>
        <w:tc>
          <w:tcPr>
            <w:tcW w:w="2090" w:type="pct"/>
            <w:vMerge/>
            <w:tcBorders>
              <w:left w:val="single" w:sz="4" w:space="0" w:color="auto"/>
              <w:right w:val="single" w:sz="4" w:space="0" w:color="auto"/>
            </w:tcBorders>
          </w:tcPr>
          <w:p w14:paraId="286A84B5"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971E6DA" w14:textId="2BA99145"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kern w:val="2"/>
                <w:sz w:val="26"/>
                <w:szCs w:val="26"/>
                <w:shd w:val="clear" w:color="auto" w:fill="FFFFFF"/>
              </w:rPr>
            </w:pPr>
            <w:r w:rsidRPr="00417A59">
              <w:rPr>
                <w:rFonts w:ascii="Times New Roman" w:eastAsia="標楷體" w:hAnsi="Times New Roman" w:cs="Times New Roman"/>
                <w:spacing w:val="15"/>
                <w:sz w:val="26"/>
                <w:szCs w:val="26"/>
              </w:rPr>
              <w:t>行銷策略</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Marketing Strategy</w:t>
            </w:r>
          </w:p>
        </w:tc>
        <w:tc>
          <w:tcPr>
            <w:tcW w:w="488" w:type="pct"/>
            <w:tcBorders>
              <w:top w:val="single" w:sz="4" w:space="0" w:color="auto"/>
              <w:left w:val="single" w:sz="4" w:space="0" w:color="auto"/>
              <w:bottom w:val="single" w:sz="4" w:space="0" w:color="auto"/>
              <w:right w:val="single" w:sz="4" w:space="0" w:color="auto"/>
            </w:tcBorders>
            <w:vAlign w:val="center"/>
          </w:tcPr>
          <w:p w14:paraId="41B1FD88" w14:textId="290E353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458170E" w14:textId="04DB7FF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B9FBDED" w14:textId="77777777" w:rsidTr="008D1E76">
        <w:trPr>
          <w:jc w:val="center"/>
        </w:trPr>
        <w:tc>
          <w:tcPr>
            <w:tcW w:w="2090" w:type="pct"/>
            <w:vMerge/>
            <w:tcBorders>
              <w:left w:val="single" w:sz="4" w:space="0" w:color="auto"/>
              <w:right w:val="single" w:sz="4" w:space="0" w:color="auto"/>
            </w:tcBorders>
          </w:tcPr>
          <w:p w14:paraId="345CCF3A"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6A21C" w14:textId="789C9FC0"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廣告研究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Advertising Research</w:t>
            </w:r>
          </w:p>
        </w:tc>
        <w:tc>
          <w:tcPr>
            <w:tcW w:w="488" w:type="pct"/>
            <w:tcBorders>
              <w:top w:val="single" w:sz="4" w:space="0" w:color="auto"/>
              <w:left w:val="single" w:sz="4" w:space="0" w:color="auto"/>
              <w:bottom w:val="single" w:sz="4" w:space="0" w:color="auto"/>
              <w:right w:val="single" w:sz="4" w:space="0" w:color="auto"/>
            </w:tcBorders>
            <w:vAlign w:val="center"/>
          </w:tcPr>
          <w:p w14:paraId="3305F54C" w14:textId="211CA48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6A03862" w14:textId="73C8167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9B901AD" w14:textId="77777777" w:rsidTr="008D1E76">
        <w:trPr>
          <w:jc w:val="center"/>
        </w:trPr>
        <w:tc>
          <w:tcPr>
            <w:tcW w:w="2090" w:type="pct"/>
            <w:vMerge/>
            <w:tcBorders>
              <w:left w:val="single" w:sz="4" w:space="0" w:color="auto"/>
              <w:right w:val="single" w:sz="4" w:space="0" w:color="auto"/>
            </w:tcBorders>
          </w:tcPr>
          <w:p w14:paraId="1B816C26"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F1EB8CF" w14:textId="31287852"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健康傳播與風險溝通</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Health Communication and Risk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68A4B038" w14:textId="62DF7F5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1093814" w14:textId="5E13C6B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5943941" w14:textId="77777777" w:rsidTr="008D1E76">
        <w:trPr>
          <w:jc w:val="center"/>
        </w:trPr>
        <w:tc>
          <w:tcPr>
            <w:tcW w:w="2090" w:type="pct"/>
            <w:vMerge/>
            <w:tcBorders>
              <w:left w:val="single" w:sz="4" w:space="0" w:color="auto"/>
              <w:right w:val="single" w:sz="4" w:space="0" w:color="auto"/>
            </w:tcBorders>
          </w:tcPr>
          <w:p w14:paraId="53C7BC89"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098C8CF" w14:textId="0AA6E20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新媒體、民意與大數據研究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New Media, Public Opinion and Big Data Research</w:t>
            </w:r>
          </w:p>
        </w:tc>
        <w:tc>
          <w:tcPr>
            <w:tcW w:w="488" w:type="pct"/>
            <w:tcBorders>
              <w:top w:val="single" w:sz="4" w:space="0" w:color="auto"/>
              <w:left w:val="single" w:sz="4" w:space="0" w:color="auto"/>
              <w:bottom w:val="single" w:sz="4" w:space="0" w:color="auto"/>
              <w:right w:val="single" w:sz="4" w:space="0" w:color="auto"/>
            </w:tcBorders>
            <w:vAlign w:val="center"/>
          </w:tcPr>
          <w:p w14:paraId="705C7C65" w14:textId="33251954"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71D2EAC" w14:textId="37BB973A"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7C025A1" w14:textId="77777777" w:rsidTr="008D1E76">
        <w:trPr>
          <w:jc w:val="center"/>
        </w:trPr>
        <w:tc>
          <w:tcPr>
            <w:tcW w:w="2090" w:type="pct"/>
            <w:vMerge/>
            <w:tcBorders>
              <w:left w:val="single" w:sz="4" w:space="0" w:color="auto"/>
              <w:bottom w:val="single" w:sz="4" w:space="0" w:color="auto"/>
              <w:right w:val="single" w:sz="4" w:space="0" w:color="auto"/>
            </w:tcBorders>
          </w:tcPr>
          <w:p w14:paraId="5F642972"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2096D30E" w14:textId="745BE9B1"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社會網絡分析</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Social Network Analysis</w:t>
            </w:r>
          </w:p>
        </w:tc>
        <w:tc>
          <w:tcPr>
            <w:tcW w:w="488" w:type="pct"/>
            <w:tcBorders>
              <w:top w:val="single" w:sz="4" w:space="0" w:color="auto"/>
              <w:left w:val="single" w:sz="4" w:space="0" w:color="auto"/>
              <w:bottom w:val="single" w:sz="4" w:space="0" w:color="auto"/>
              <w:right w:val="single" w:sz="4" w:space="0" w:color="auto"/>
            </w:tcBorders>
            <w:vAlign w:val="center"/>
          </w:tcPr>
          <w:p w14:paraId="552B955A" w14:textId="6B4AF8E1"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40D92AA" w14:textId="363ABAA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79BDB2" w14:textId="6A4D8864" w:rsidTr="008D1E76">
        <w:trPr>
          <w:trHeight w:val="844"/>
          <w:jc w:val="center"/>
        </w:trPr>
        <w:tc>
          <w:tcPr>
            <w:tcW w:w="2090" w:type="pct"/>
            <w:vMerge w:val="restart"/>
            <w:tcBorders>
              <w:top w:val="single" w:sz="4" w:space="0" w:color="auto"/>
              <w:left w:val="single" w:sz="4" w:space="0" w:color="auto"/>
              <w:right w:val="single" w:sz="4" w:space="0" w:color="auto"/>
            </w:tcBorders>
            <w:hideMark/>
          </w:tcPr>
          <w:p w14:paraId="742894C1" w14:textId="0522531F" w:rsidR="008D1E76" w:rsidRPr="00417A59" w:rsidRDefault="008D1E76" w:rsidP="008D1E76">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四、</w:t>
            </w:r>
            <w:r w:rsidRPr="00417A59">
              <w:rPr>
                <w:rFonts w:ascii="Times New Roman" w:eastAsia="標楷體" w:hAnsi="Times New Roman" w:cs="Times New Roman"/>
                <w:b/>
                <w:sz w:val="26"/>
                <w:szCs w:val="26"/>
              </w:rPr>
              <w:t>傳播科技與媒體產業</w:t>
            </w:r>
            <w:r w:rsidRPr="00417A59">
              <w:rPr>
                <w:rFonts w:ascii="Times New Roman" w:eastAsia="標楷體" w:hAnsi="Times New Roman" w:cs="Times New Roman"/>
                <w:b/>
                <w:bCs/>
                <w:spacing w:val="15"/>
                <w:sz w:val="26"/>
                <w:szCs w:val="26"/>
                <w:shd w:val="clear" w:color="auto" w:fill="FFFFFF"/>
              </w:rPr>
              <w:t>Communication Technology and Media Industry</w:t>
            </w:r>
            <w:r w:rsidRPr="00417A59">
              <w:rPr>
                <w:rFonts w:ascii="Times New Roman" w:eastAsia="標楷體" w:hAnsi="Times New Roman" w:cs="Times New Roman"/>
                <w:spacing w:val="15"/>
                <w:sz w:val="26"/>
                <w:szCs w:val="26"/>
                <w:shd w:val="clear" w:color="auto" w:fill="FFFFFF"/>
              </w:rPr>
              <w:t> </w:t>
            </w:r>
          </w:p>
          <w:p w14:paraId="0891C153" w14:textId="77777777" w:rsidR="008D1E76" w:rsidRPr="00417A59" w:rsidRDefault="008D1E76" w:rsidP="008D1E76">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本系列課程目標為探討當前傳播科技發展與其社會文化影響，以及媒體生態中各個環節與各項元素的構成關係，提昇當代媒體發展脈動的掌握。</w:t>
            </w:r>
          </w:p>
          <w:p w14:paraId="53DFB569" w14:textId="5BF95DD6" w:rsidR="008D1E76" w:rsidRPr="00417A59" w:rsidRDefault="008D1E76" w:rsidP="008D1E76">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t>These courses are aimed at exploring current developments in communication technology and their socio-cultural impacts, as well as the various interconnected aspects and elements of the media industry, in order to provide an overall understanding of the contemporary media environment.  </w:t>
            </w:r>
          </w:p>
        </w:tc>
        <w:tc>
          <w:tcPr>
            <w:tcW w:w="2024" w:type="pct"/>
            <w:tcBorders>
              <w:top w:val="single" w:sz="4" w:space="0" w:color="auto"/>
              <w:left w:val="single" w:sz="4" w:space="0" w:color="auto"/>
              <w:bottom w:val="single" w:sz="4" w:space="0" w:color="auto"/>
              <w:right w:val="single" w:sz="4" w:space="0" w:color="auto"/>
            </w:tcBorders>
            <w:hideMark/>
          </w:tcPr>
          <w:p w14:paraId="483F67EB" w14:textId="00C6C164"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媒體消費與閱聽人研究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Media Consumption and Audience Studies</w:t>
            </w:r>
          </w:p>
          <w:p w14:paraId="49755CE6" w14:textId="73D5BB3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5AA89637" w14:textId="0617C708"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765399" w14:textId="593B2505"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7694EC65" w14:textId="77777777" w:rsidTr="008D1E76">
        <w:trPr>
          <w:trHeight w:val="701"/>
          <w:jc w:val="center"/>
        </w:trPr>
        <w:tc>
          <w:tcPr>
            <w:tcW w:w="2090" w:type="pct"/>
            <w:vMerge/>
            <w:tcBorders>
              <w:left w:val="single" w:sz="4" w:space="0" w:color="auto"/>
              <w:right w:val="single" w:sz="4" w:space="0" w:color="auto"/>
            </w:tcBorders>
          </w:tcPr>
          <w:p w14:paraId="22E9347D"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F5CA0" w14:textId="0417D5A8"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創意勞動與文化經濟</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Creative Labor and Cultural Economy</w:t>
            </w:r>
          </w:p>
        </w:tc>
        <w:tc>
          <w:tcPr>
            <w:tcW w:w="488" w:type="pct"/>
            <w:tcBorders>
              <w:top w:val="single" w:sz="4" w:space="0" w:color="auto"/>
              <w:left w:val="single" w:sz="4" w:space="0" w:color="auto"/>
              <w:bottom w:val="single" w:sz="4" w:space="0" w:color="auto"/>
              <w:right w:val="single" w:sz="4" w:space="0" w:color="auto"/>
            </w:tcBorders>
            <w:vAlign w:val="center"/>
          </w:tcPr>
          <w:p w14:paraId="01E14F54" w14:textId="4D08039D"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ACFDE4" w14:textId="477F6CDC"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A9EC317" w14:textId="77777777" w:rsidTr="008D1E76">
        <w:trPr>
          <w:trHeight w:val="697"/>
          <w:jc w:val="center"/>
        </w:trPr>
        <w:tc>
          <w:tcPr>
            <w:tcW w:w="2090" w:type="pct"/>
            <w:vMerge/>
            <w:tcBorders>
              <w:left w:val="single" w:sz="4" w:space="0" w:color="auto"/>
              <w:right w:val="single" w:sz="4" w:space="0" w:color="auto"/>
            </w:tcBorders>
          </w:tcPr>
          <w:p w14:paraId="3880BF70"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E3D06F3" w14:textId="639FCA11"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資訊視覺化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Data Visualization</w:t>
            </w:r>
          </w:p>
        </w:tc>
        <w:tc>
          <w:tcPr>
            <w:tcW w:w="488" w:type="pct"/>
            <w:tcBorders>
              <w:top w:val="single" w:sz="4" w:space="0" w:color="auto"/>
              <w:left w:val="single" w:sz="4" w:space="0" w:color="auto"/>
              <w:bottom w:val="single" w:sz="4" w:space="0" w:color="auto"/>
              <w:right w:val="single" w:sz="4" w:space="0" w:color="auto"/>
            </w:tcBorders>
            <w:vAlign w:val="center"/>
          </w:tcPr>
          <w:p w14:paraId="46407B42" w14:textId="7E80110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2C56ACB" w14:textId="121B3DD3"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38A2D6" w14:textId="77777777" w:rsidTr="008D1E76">
        <w:trPr>
          <w:trHeight w:val="705"/>
          <w:jc w:val="center"/>
        </w:trPr>
        <w:tc>
          <w:tcPr>
            <w:tcW w:w="2090" w:type="pct"/>
            <w:vMerge/>
            <w:tcBorders>
              <w:left w:val="single" w:sz="4" w:space="0" w:color="auto"/>
              <w:right w:val="single" w:sz="4" w:space="0" w:color="auto"/>
            </w:tcBorders>
          </w:tcPr>
          <w:p w14:paraId="54B1AFEF"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FB73EB6" w14:textId="37A8D929"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網路行銷與大數據</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Internet Marketing and Big Data</w:t>
            </w:r>
          </w:p>
        </w:tc>
        <w:tc>
          <w:tcPr>
            <w:tcW w:w="488" w:type="pct"/>
            <w:tcBorders>
              <w:top w:val="single" w:sz="4" w:space="0" w:color="auto"/>
              <w:left w:val="single" w:sz="4" w:space="0" w:color="auto"/>
              <w:bottom w:val="single" w:sz="4" w:space="0" w:color="auto"/>
              <w:right w:val="single" w:sz="4" w:space="0" w:color="auto"/>
            </w:tcBorders>
            <w:vAlign w:val="center"/>
          </w:tcPr>
          <w:p w14:paraId="73EDB29E" w14:textId="3A1F855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A43D3" w14:textId="664A611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977EFEE" w14:textId="77777777" w:rsidTr="008D1E76">
        <w:trPr>
          <w:trHeight w:val="688"/>
          <w:jc w:val="center"/>
        </w:trPr>
        <w:tc>
          <w:tcPr>
            <w:tcW w:w="2090" w:type="pct"/>
            <w:vMerge/>
            <w:tcBorders>
              <w:left w:val="single" w:sz="4" w:space="0" w:color="auto"/>
              <w:right w:val="single" w:sz="4" w:space="0" w:color="auto"/>
            </w:tcBorders>
          </w:tcPr>
          <w:p w14:paraId="30B032EB"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29E222E" w14:textId="216C3B97"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文化創意產業專題研究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the culture creative industries</w:t>
            </w:r>
          </w:p>
        </w:tc>
        <w:tc>
          <w:tcPr>
            <w:tcW w:w="488" w:type="pct"/>
            <w:tcBorders>
              <w:top w:val="single" w:sz="4" w:space="0" w:color="auto"/>
              <w:left w:val="single" w:sz="4" w:space="0" w:color="auto"/>
              <w:bottom w:val="single" w:sz="4" w:space="0" w:color="auto"/>
              <w:right w:val="single" w:sz="4" w:space="0" w:color="auto"/>
            </w:tcBorders>
            <w:vAlign w:val="center"/>
          </w:tcPr>
          <w:p w14:paraId="3792437C" w14:textId="37A869D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133C0CC" w14:textId="639197D6"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1842912" w14:textId="77777777" w:rsidTr="008D1E76">
        <w:trPr>
          <w:trHeight w:val="698"/>
          <w:jc w:val="center"/>
        </w:trPr>
        <w:tc>
          <w:tcPr>
            <w:tcW w:w="2090" w:type="pct"/>
            <w:vMerge/>
            <w:tcBorders>
              <w:left w:val="single" w:sz="4" w:space="0" w:color="auto"/>
              <w:bottom w:val="single" w:sz="4" w:space="0" w:color="auto"/>
              <w:right w:val="single" w:sz="4" w:space="0" w:color="auto"/>
            </w:tcBorders>
          </w:tcPr>
          <w:p w14:paraId="562441B9"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7FA46AD" w14:textId="7FBBAB27"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傳播專業實習</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Internship in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677626F9" w14:textId="52F030E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AC20D47" w14:textId="637ADF3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1</w:t>
            </w:r>
          </w:p>
        </w:tc>
      </w:tr>
    </w:tbl>
    <w:p w14:paraId="3B50DEBF" w14:textId="77777777" w:rsidR="00DA1536" w:rsidRDefault="00DA1536" w:rsidP="00DA1536">
      <w:pPr>
        <w:snapToGrid w:val="0"/>
        <w:spacing w:line="400" w:lineRule="atLeast"/>
        <w:ind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r>
        <w:rPr>
          <w:rFonts w:ascii="新細明體" w:eastAsia="新細明體" w:hAnsi="新細明體" w:cs="Times New Roman" w:hint="eastAsia"/>
          <w:sz w:val="26"/>
          <w:szCs w:val="26"/>
        </w:rPr>
        <w:t>：</w:t>
      </w:r>
    </w:p>
    <w:p w14:paraId="697D3DCA" w14:textId="279D6F37" w:rsidR="00632730" w:rsidRDefault="00632730"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DA1536">
        <w:rPr>
          <w:rFonts w:ascii="Times New Roman" w:eastAsia="標楷體" w:hAnsi="Times New Roman" w:cs="Times New Roman"/>
          <w:sz w:val="26"/>
          <w:szCs w:val="26"/>
        </w:rPr>
        <w:t>必修</w:t>
      </w:r>
      <w:r w:rsidRPr="00DA1536">
        <w:rPr>
          <w:rFonts w:ascii="Times New Roman" w:eastAsia="標楷體" w:hAnsi="Times New Roman" w:cs="Times New Roman"/>
          <w:sz w:val="26"/>
          <w:szCs w:val="26"/>
        </w:rPr>
        <w:t>Required</w:t>
      </w:r>
      <w:r w:rsidRPr="00DA1536">
        <w:rPr>
          <w:rFonts w:ascii="Times New Roman" w:eastAsia="標楷體" w:hAnsi="Times New Roman" w:cs="Times New Roman"/>
          <w:sz w:val="26"/>
          <w:szCs w:val="26"/>
        </w:rPr>
        <w:t>：必</w:t>
      </w:r>
      <w:r w:rsidRPr="00DA1536">
        <w:rPr>
          <w:rFonts w:ascii="Times New Roman" w:eastAsia="標楷體" w:hAnsi="Times New Roman" w:cs="Times New Roman"/>
          <w:sz w:val="26"/>
          <w:szCs w:val="26"/>
        </w:rPr>
        <w:t>/R</w:t>
      </w:r>
      <w:r w:rsidR="00DA1536" w:rsidRPr="00DA1536">
        <w:rPr>
          <w:rFonts w:ascii="標楷體" w:eastAsia="標楷體" w:hAnsi="標楷體" w:cs="Times New Roman" w:hint="eastAsia"/>
          <w:sz w:val="26"/>
          <w:szCs w:val="26"/>
        </w:rPr>
        <w:t>；</w:t>
      </w:r>
      <w:r w:rsidRPr="00DA1536">
        <w:rPr>
          <w:rFonts w:ascii="Times New Roman" w:eastAsia="標楷體" w:hAnsi="Times New Roman" w:cs="Times New Roman"/>
          <w:sz w:val="26"/>
          <w:szCs w:val="26"/>
        </w:rPr>
        <w:t>選修</w:t>
      </w:r>
      <w:r w:rsidRPr="00DA1536">
        <w:rPr>
          <w:rFonts w:ascii="Times New Roman" w:eastAsia="標楷體" w:hAnsi="Times New Roman" w:cs="Times New Roman"/>
          <w:sz w:val="26"/>
          <w:szCs w:val="26"/>
        </w:rPr>
        <w:t>Election</w:t>
      </w:r>
      <w:r w:rsidRPr="00DA1536">
        <w:rPr>
          <w:rFonts w:ascii="Times New Roman" w:eastAsia="標楷體" w:hAnsi="Times New Roman" w:cs="Times New Roman"/>
          <w:sz w:val="26"/>
          <w:szCs w:val="26"/>
        </w:rPr>
        <w:t>：選</w:t>
      </w:r>
      <w:r w:rsidRPr="00DA1536">
        <w:rPr>
          <w:rFonts w:ascii="Times New Roman" w:eastAsia="標楷體" w:hAnsi="Times New Roman" w:cs="Times New Roman"/>
          <w:sz w:val="26"/>
          <w:szCs w:val="26"/>
        </w:rPr>
        <w:t>/E</w:t>
      </w:r>
      <w:r w:rsidR="00DA1536" w:rsidRPr="00DA1536">
        <w:rPr>
          <w:rFonts w:ascii="Times New Roman" w:eastAsia="標楷體" w:hAnsi="Times New Roman" w:cs="Times New Roman" w:hint="eastAsia"/>
          <w:sz w:val="26"/>
          <w:szCs w:val="26"/>
        </w:rPr>
        <w:t>。</w:t>
      </w:r>
    </w:p>
    <w:p w14:paraId="0E85EADD" w14:textId="67136444" w:rsidR="00DA1536" w:rsidRPr="0025417E" w:rsidRDefault="00A5509C" w:rsidP="0025417E">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25417E">
        <w:rPr>
          <w:rFonts w:ascii="Times New Roman" w:eastAsia="標楷體" w:hAnsi="Times New Roman" w:cs="Times New Roman" w:hint="eastAsia"/>
          <w:sz w:val="26"/>
          <w:szCs w:val="26"/>
        </w:rPr>
        <w:t>畢業學分</w:t>
      </w:r>
      <w:r w:rsidRPr="0025417E">
        <w:rPr>
          <w:rFonts w:ascii="Times New Roman" w:eastAsia="標楷體" w:hAnsi="Times New Roman" w:cs="Times New Roman" w:hint="eastAsia"/>
          <w:sz w:val="26"/>
          <w:szCs w:val="26"/>
        </w:rPr>
        <w:t>32</w:t>
      </w:r>
      <w:r w:rsidRPr="0025417E">
        <w:rPr>
          <w:rFonts w:ascii="Times New Roman" w:eastAsia="標楷體" w:hAnsi="Times New Roman" w:cs="Times New Roman" w:hint="eastAsia"/>
          <w:sz w:val="26"/>
          <w:szCs w:val="26"/>
        </w:rPr>
        <w:t>學分。含必修學分</w:t>
      </w:r>
      <w:r w:rsidRPr="0025417E">
        <w:rPr>
          <w:rFonts w:ascii="Times New Roman" w:eastAsia="標楷體" w:hAnsi="Times New Roman" w:cs="Times New Roman" w:hint="eastAsia"/>
          <w:sz w:val="26"/>
          <w:szCs w:val="26"/>
        </w:rPr>
        <w:t>7</w:t>
      </w:r>
      <w:r w:rsidRPr="0025417E">
        <w:rPr>
          <w:rFonts w:ascii="Times New Roman" w:eastAsia="標楷體" w:hAnsi="Times New Roman" w:cs="Times New Roman" w:hint="eastAsia"/>
          <w:sz w:val="26"/>
          <w:szCs w:val="26"/>
        </w:rPr>
        <w:t>學分，專業選修</w:t>
      </w:r>
      <w:r w:rsidRPr="0025417E">
        <w:rPr>
          <w:rFonts w:ascii="Times New Roman" w:eastAsia="標楷體" w:hAnsi="Times New Roman" w:cs="Times New Roman" w:hint="eastAsia"/>
          <w:sz w:val="26"/>
          <w:szCs w:val="26"/>
        </w:rPr>
        <w:t>20</w:t>
      </w:r>
      <w:r w:rsidRPr="0025417E">
        <w:rPr>
          <w:rFonts w:ascii="Times New Roman" w:eastAsia="標楷體" w:hAnsi="Times New Roman" w:cs="Times New Roman" w:hint="eastAsia"/>
          <w:sz w:val="26"/>
          <w:szCs w:val="26"/>
        </w:rPr>
        <w:t>學分，</w:t>
      </w:r>
      <w:r w:rsidR="002E77CD" w:rsidRPr="0025417E">
        <w:rPr>
          <w:rFonts w:ascii="Times New Roman" w:eastAsia="標楷體" w:hAnsi="Times New Roman" w:cs="Times New Roman" w:hint="eastAsia"/>
          <w:sz w:val="26"/>
          <w:szCs w:val="26"/>
        </w:rPr>
        <w:t>其他選修</w:t>
      </w:r>
      <w:r w:rsidR="002E77CD" w:rsidRPr="0025417E">
        <w:rPr>
          <w:rFonts w:ascii="Times New Roman" w:eastAsia="標楷體" w:hAnsi="Times New Roman" w:cs="Times New Roman" w:hint="eastAsia"/>
          <w:sz w:val="26"/>
          <w:szCs w:val="26"/>
        </w:rPr>
        <w:t>5</w:t>
      </w:r>
      <w:r w:rsidR="002E77CD" w:rsidRPr="0025417E">
        <w:rPr>
          <w:rFonts w:ascii="Times New Roman" w:eastAsia="標楷體" w:hAnsi="Times New Roman" w:cs="Times New Roman" w:hint="eastAsia"/>
          <w:sz w:val="26"/>
          <w:szCs w:val="26"/>
        </w:rPr>
        <w:t>學分。</w:t>
      </w:r>
      <w:r w:rsidR="007701D2" w:rsidRPr="0025417E">
        <w:rPr>
          <w:rFonts w:ascii="Times New Roman" w:eastAsia="標楷體" w:hAnsi="Times New Roman" w:cs="Times New Roman"/>
          <w:sz w:val="26"/>
          <w:szCs w:val="26"/>
        </w:rPr>
        <w:t>Graduation requires 32 credits, including 7 required credits, 20 professional elective credits, and 5 other elective credits.</w:t>
      </w:r>
    </w:p>
    <w:p w14:paraId="1B10EC41" w14:textId="328A5D7B" w:rsidR="00632730" w:rsidRPr="00DA1536" w:rsidRDefault="00DA1536"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專業選修</w:t>
      </w:r>
      <w:r>
        <w:rPr>
          <w:rFonts w:ascii="新細明體" w:eastAsia="新細明體" w:hAnsi="新細明體" w:cs="Times New Roman" w:hint="eastAsia"/>
          <w:sz w:val="26"/>
          <w:szCs w:val="26"/>
        </w:rPr>
        <w:t>：</w:t>
      </w:r>
      <w:r w:rsidR="00A5509C" w:rsidRPr="00DA1536">
        <w:rPr>
          <w:rFonts w:ascii="Times New Roman" w:eastAsia="標楷體" w:hAnsi="Times New Roman" w:cs="Times New Roman" w:hint="eastAsia"/>
          <w:sz w:val="26"/>
          <w:szCs w:val="26"/>
        </w:rPr>
        <w:t>至少須在本所碩士班修滿</w:t>
      </w:r>
      <w:r w:rsidR="00A5509C" w:rsidRPr="00DA1536">
        <w:rPr>
          <w:rFonts w:ascii="Times New Roman" w:eastAsia="標楷體" w:hAnsi="Times New Roman" w:cs="Times New Roman" w:hint="eastAsia"/>
          <w:sz w:val="26"/>
          <w:szCs w:val="26"/>
        </w:rPr>
        <w:t>11</w:t>
      </w:r>
      <w:r w:rsidR="00A5509C" w:rsidRPr="00DA1536">
        <w:rPr>
          <w:rFonts w:ascii="Times New Roman" w:eastAsia="標楷體" w:hAnsi="Times New Roman" w:cs="Times New Roman" w:hint="eastAsia"/>
          <w:sz w:val="26"/>
          <w:szCs w:val="26"/>
        </w:rPr>
        <w:t>個選修學分，其餘學分可選修</w:t>
      </w:r>
      <w:r>
        <w:rPr>
          <w:rFonts w:ascii="Times New Roman" w:eastAsia="標楷體" w:hAnsi="Times New Roman" w:cs="Times New Roman" w:hint="eastAsia"/>
          <w:sz w:val="26"/>
          <w:szCs w:val="26"/>
        </w:rPr>
        <w:t>本所</w:t>
      </w:r>
      <w:r w:rsidR="00A5509C" w:rsidRPr="00DA1536">
        <w:rPr>
          <w:rFonts w:ascii="Times New Roman" w:eastAsia="標楷體" w:hAnsi="Times New Roman" w:cs="Times New Roman" w:hint="eastAsia"/>
          <w:sz w:val="26"/>
          <w:szCs w:val="26"/>
        </w:rPr>
        <w:t>碩士在職專班選修學分。</w:t>
      </w:r>
      <w:r w:rsidR="00CA3969">
        <w:rPr>
          <w:rFonts w:ascii="Times New Roman" w:eastAsia="標楷體" w:hAnsi="Times New Roman" w:cs="Times New Roman"/>
          <w:sz w:val="26"/>
          <w:szCs w:val="26"/>
        </w:rPr>
        <w:br/>
      </w:r>
      <w:r w:rsidR="0025417E" w:rsidRPr="0025417E">
        <w:rPr>
          <w:rFonts w:ascii="Times New Roman" w:eastAsia="標楷體" w:hAnsi="Times New Roman" w:cs="Times New Roman"/>
          <w:sz w:val="26"/>
          <w:szCs w:val="26"/>
        </w:rPr>
        <w:t xml:space="preserve">Professional Electives: At least 11 elective credits must be completed within the master’s program of this institute. The remaining credits can be taken from the elective courses of the </w:t>
      </w:r>
      <w:r w:rsidR="0025417E">
        <w:rPr>
          <w:rFonts w:ascii="Times New Roman" w:eastAsia="標楷體" w:hAnsi="Times New Roman" w:cs="Times New Roman" w:hint="eastAsia"/>
          <w:sz w:val="26"/>
          <w:szCs w:val="26"/>
        </w:rPr>
        <w:t>E</w:t>
      </w:r>
      <w:r w:rsidR="0025417E">
        <w:rPr>
          <w:rFonts w:ascii="Times New Roman" w:eastAsia="標楷體" w:hAnsi="Times New Roman" w:cs="Times New Roman"/>
          <w:sz w:val="26"/>
          <w:szCs w:val="26"/>
        </w:rPr>
        <w:t>vening &amp; Weekend Master</w:t>
      </w:r>
      <w:r w:rsidR="00CA3969">
        <w:rPr>
          <w:rFonts w:ascii="Times New Roman" w:eastAsia="標楷體" w:hAnsi="Times New Roman" w:cs="Times New Roman"/>
          <w:sz w:val="26"/>
          <w:szCs w:val="26"/>
        </w:rPr>
        <w:t>’s</w:t>
      </w:r>
      <w:r w:rsidR="0025417E">
        <w:rPr>
          <w:rFonts w:ascii="Times New Roman" w:eastAsia="標楷體" w:hAnsi="Times New Roman" w:cs="Times New Roman"/>
          <w:sz w:val="26"/>
          <w:szCs w:val="26"/>
        </w:rPr>
        <w:t xml:space="preserve"> Program</w:t>
      </w:r>
      <w:r w:rsidR="0025417E" w:rsidRPr="0025417E">
        <w:rPr>
          <w:rFonts w:ascii="Times New Roman" w:eastAsia="標楷體" w:hAnsi="Times New Roman" w:cs="Times New Roman"/>
          <w:sz w:val="26"/>
          <w:szCs w:val="26"/>
        </w:rPr>
        <w:t xml:space="preserve"> of this institute.</w:t>
      </w:r>
    </w:p>
    <w:sectPr w:rsidR="00632730" w:rsidRPr="00DA1536" w:rsidSect="00A5509C">
      <w:pgSz w:w="11906" w:h="16838"/>
      <w:pgMar w:top="993"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6CC7" w14:textId="77777777" w:rsidR="00520D36" w:rsidRDefault="00520D36" w:rsidP="0060088C">
      <w:r>
        <w:separator/>
      </w:r>
    </w:p>
  </w:endnote>
  <w:endnote w:type="continuationSeparator" w:id="0">
    <w:p w14:paraId="673BC21D" w14:textId="77777777" w:rsidR="00520D36" w:rsidRDefault="00520D36" w:rsidP="006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14AC" w14:textId="77777777" w:rsidR="00520D36" w:rsidRDefault="00520D36" w:rsidP="0060088C">
      <w:r>
        <w:separator/>
      </w:r>
    </w:p>
  </w:footnote>
  <w:footnote w:type="continuationSeparator" w:id="0">
    <w:p w14:paraId="3E366695" w14:textId="77777777" w:rsidR="00520D36" w:rsidRDefault="00520D36" w:rsidP="006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E30"/>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D133291"/>
    <w:multiLevelType w:val="hybridMultilevel"/>
    <w:tmpl w:val="CAB06D70"/>
    <w:lvl w:ilvl="0" w:tplc="A26EF4E6">
      <w:start w:val="1"/>
      <w:numFmt w:val="decimal"/>
      <w:lvlText w:val="%1."/>
      <w:lvlJc w:val="left"/>
      <w:pPr>
        <w:ind w:left="284" w:hanging="284"/>
      </w:pPr>
      <w:rPr>
        <w:rFonts w:hint="eastAsia"/>
      </w:rPr>
    </w:lvl>
    <w:lvl w:ilvl="1" w:tplc="2ED61F38">
      <w:start w:val="2"/>
      <w:numFmt w:val="taiwaneseCountingThousand"/>
      <w:lvlText w:val="%2、"/>
      <w:lvlJc w:val="left"/>
      <w:pPr>
        <w:ind w:left="632" w:hanging="720"/>
      </w:pPr>
      <w:rPr>
        <w:rFonts w:hint="default"/>
      </w:rPr>
    </w:lvl>
    <w:lvl w:ilvl="2" w:tplc="F4806C98">
      <w:start w:val="1"/>
      <w:numFmt w:val="decimal"/>
      <w:lvlText w:val="%3."/>
      <w:lvlJc w:val="left"/>
      <w:pPr>
        <w:ind w:left="752" w:hanging="360"/>
      </w:pPr>
      <w:rPr>
        <w:rFonts w:hint="default"/>
      </w:rPr>
    </w:lvl>
    <w:lvl w:ilvl="3" w:tplc="DA3CCC6C">
      <w:start w:val="1"/>
      <w:numFmt w:val="decimal"/>
      <w:lvlText w:val="%4."/>
      <w:lvlJc w:val="left"/>
      <w:pPr>
        <w:ind w:left="1232" w:hanging="360"/>
      </w:pPr>
      <w:rPr>
        <w:rFonts w:hint="default"/>
      </w:r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0E0335E5"/>
    <w:multiLevelType w:val="hybridMultilevel"/>
    <w:tmpl w:val="0A88516A"/>
    <w:lvl w:ilvl="0" w:tplc="B70021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E20D0"/>
    <w:multiLevelType w:val="hybridMultilevel"/>
    <w:tmpl w:val="63EA9DA4"/>
    <w:lvl w:ilvl="0" w:tplc="A71C527A">
      <w:start w:val="1"/>
      <w:numFmt w:val="decimal"/>
      <w:lvlText w:val="%1."/>
      <w:lvlJc w:val="left"/>
      <w:pPr>
        <w:ind w:left="284" w:hanging="284"/>
      </w:pPr>
      <w:rPr>
        <w:rFonts w:hint="eastAsia"/>
      </w:rPr>
    </w:lvl>
    <w:lvl w:ilvl="1" w:tplc="2258F4FC">
      <w:start w:val="2"/>
      <w:numFmt w:val="taiwaneseCountingThousand"/>
      <w:lvlText w:val="%2、"/>
      <w:lvlJc w:val="left"/>
      <w:pPr>
        <w:ind w:left="720" w:hanging="72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11AE04FD"/>
    <w:multiLevelType w:val="hybridMultilevel"/>
    <w:tmpl w:val="8678527A"/>
    <w:lvl w:ilvl="0" w:tplc="C8563ED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840CA"/>
    <w:multiLevelType w:val="hybridMultilevel"/>
    <w:tmpl w:val="FD12453E"/>
    <w:lvl w:ilvl="0" w:tplc="F77E5CC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619D3"/>
    <w:multiLevelType w:val="hybridMultilevel"/>
    <w:tmpl w:val="06F08A78"/>
    <w:lvl w:ilvl="0" w:tplc="0409000F">
      <w:start w:val="1"/>
      <w:numFmt w:val="decimal"/>
      <w:lvlText w:val="%1."/>
      <w:lvlJc w:val="left"/>
      <w:pPr>
        <w:ind w:left="480" w:hanging="480"/>
      </w:pPr>
    </w:lvl>
    <w:lvl w:ilvl="1" w:tplc="7EECB7C8">
      <w:start w:val="1"/>
      <w:numFmt w:val="decimal"/>
      <w:lvlText w:val="%2."/>
      <w:lvlJc w:val="left"/>
      <w:pPr>
        <w:ind w:left="196" w:hanging="196"/>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B154C"/>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8" w15:restartNumberingAfterBreak="0">
    <w:nsid w:val="28C66F59"/>
    <w:multiLevelType w:val="hybridMultilevel"/>
    <w:tmpl w:val="4E7A0254"/>
    <w:lvl w:ilvl="0" w:tplc="F05485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2229F"/>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0" w15:restartNumberingAfterBreak="0">
    <w:nsid w:val="36D82C45"/>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1" w15:restartNumberingAfterBreak="0">
    <w:nsid w:val="38901B25"/>
    <w:multiLevelType w:val="singleLevel"/>
    <w:tmpl w:val="0AFE1350"/>
    <w:lvl w:ilvl="0">
      <w:start w:val="1"/>
      <w:numFmt w:val="decimal"/>
      <w:lvlText w:val="%1."/>
      <w:lvlJc w:val="left"/>
      <w:pPr>
        <w:tabs>
          <w:tab w:val="num" w:pos="240"/>
        </w:tabs>
        <w:ind w:left="240" w:hanging="240"/>
      </w:pPr>
      <w:rPr>
        <w:rFonts w:hint="eastAsia"/>
        <w:sz w:val="26"/>
        <w:szCs w:val="26"/>
      </w:rPr>
    </w:lvl>
  </w:abstractNum>
  <w:abstractNum w:abstractNumId="12" w15:restartNumberingAfterBreak="0">
    <w:nsid w:val="3DC5657B"/>
    <w:multiLevelType w:val="hybridMultilevel"/>
    <w:tmpl w:val="94168BCA"/>
    <w:lvl w:ilvl="0" w:tplc="2D2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7622B3"/>
    <w:multiLevelType w:val="singleLevel"/>
    <w:tmpl w:val="3C723CF8"/>
    <w:lvl w:ilvl="0">
      <w:start w:val="1"/>
      <w:numFmt w:val="decimal"/>
      <w:lvlText w:val="%1."/>
      <w:lvlJc w:val="left"/>
      <w:pPr>
        <w:tabs>
          <w:tab w:val="num" w:pos="240"/>
        </w:tabs>
        <w:ind w:left="240" w:hanging="240"/>
      </w:pPr>
      <w:rPr>
        <w:rFonts w:hint="eastAsia"/>
        <w:sz w:val="24"/>
      </w:rPr>
    </w:lvl>
  </w:abstractNum>
  <w:abstractNum w:abstractNumId="14" w15:restartNumberingAfterBreak="0">
    <w:nsid w:val="42C70D79"/>
    <w:multiLevelType w:val="singleLevel"/>
    <w:tmpl w:val="6DDC20BC"/>
    <w:lvl w:ilvl="0">
      <w:start w:val="1"/>
      <w:numFmt w:val="decimal"/>
      <w:lvlText w:val="%1."/>
      <w:lvlJc w:val="left"/>
      <w:pPr>
        <w:tabs>
          <w:tab w:val="num" w:pos="240"/>
        </w:tabs>
        <w:ind w:left="240" w:hanging="240"/>
      </w:pPr>
      <w:rPr>
        <w:rFonts w:hint="eastAsia"/>
        <w:sz w:val="26"/>
        <w:szCs w:val="26"/>
      </w:rPr>
    </w:lvl>
  </w:abstractNum>
  <w:abstractNum w:abstractNumId="15" w15:restartNumberingAfterBreak="0">
    <w:nsid w:val="4CCE454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51626E12"/>
    <w:multiLevelType w:val="hybridMultilevel"/>
    <w:tmpl w:val="32D8E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E64FCC"/>
    <w:multiLevelType w:val="hybridMultilevel"/>
    <w:tmpl w:val="007A90F4"/>
    <w:lvl w:ilvl="0" w:tplc="2222B7D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B52E79"/>
    <w:multiLevelType w:val="hybridMultilevel"/>
    <w:tmpl w:val="32DC7938"/>
    <w:lvl w:ilvl="0" w:tplc="83802A8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463F12"/>
    <w:multiLevelType w:val="hybridMultilevel"/>
    <w:tmpl w:val="9DC2AF28"/>
    <w:lvl w:ilvl="0" w:tplc="C01CA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1F2C9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1" w15:restartNumberingAfterBreak="0">
    <w:nsid w:val="767F443B"/>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76D22493"/>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3" w15:restartNumberingAfterBreak="0">
    <w:nsid w:val="7AB67383"/>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4"/>
    <w:lvlOverride w:ilvl="0">
      <w:startOverride w:val="1"/>
    </w:lvlOverride>
  </w:num>
  <w:num w:numId="2">
    <w:abstractNumId w:val="11"/>
    <w:lvlOverride w:ilvl="0">
      <w:startOverride w:val="1"/>
    </w:lvlOverride>
  </w:num>
  <w:num w:numId="3">
    <w:abstractNumId w:val="13"/>
  </w:num>
  <w:num w:numId="4">
    <w:abstractNumId w:val="1"/>
  </w:num>
  <w:num w:numId="5">
    <w:abstractNumId w:val="4"/>
  </w:num>
  <w:num w:numId="6">
    <w:abstractNumId w:val="6"/>
  </w:num>
  <w:num w:numId="7">
    <w:abstractNumId w:val="19"/>
  </w:num>
  <w:num w:numId="8">
    <w:abstractNumId w:val="23"/>
  </w:num>
  <w:num w:numId="9">
    <w:abstractNumId w:val="2"/>
  </w:num>
  <w:num w:numId="10">
    <w:abstractNumId w:val="16"/>
  </w:num>
  <w:num w:numId="11">
    <w:abstractNumId w:val="20"/>
  </w:num>
  <w:num w:numId="12">
    <w:abstractNumId w:val="10"/>
  </w:num>
  <w:num w:numId="13">
    <w:abstractNumId w:val="0"/>
  </w:num>
  <w:num w:numId="14">
    <w:abstractNumId w:val="15"/>
  </w:num>
  <w:num w:numId="15">
    <w:abstractNumId w:val="9"/>
  </w:num>
  <w:num w:numId="16">
    <w:abstractNumId w:val="7"/>
  </w:num>
  <w:num w:numId="17">
    <w:abstractNumId w:val="22"/>
  </w:num>
  <w:num w:numId="18">
    <w:abstractNumId w:val="3"/>
  </w:num>
  <w:num w:numId="19">
    <w:abstractNumId w:val="5"/>
  </w:num>
  <w:num w:numId="20">
    <w:abstractNumId w:val="17"/>
  </w:num>
  <w:num w:numId="21">
    <w:abstractNumId w:val="8"/>
  </w:num>
  <w:num w:numId="22">
    <w:abstractNumId w:val="2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7"/>
    <w:rsid w:val="000246EE"/>
    <w:rsid w:val="00031278"/>
    <w:rsid w:val="00094D3F"/>
    <w:rsid w:val="000C0129"/>
    <w:rsid w:val="000D4D21"/>
    <w:rsid w:val="000E1924"/>
    <w:rsid w:val="001A1582"/>
    <w:rsid w:val="001A3316"/>
    <w:rsid w:val="001C1B18"/>
    <w:rsid w:val="001F215D"/>
    <w:rsid w:val="002120F3"/>
    <w:rsid w:val="0021332A"/>
    <w:rsid w:val="0025417E"/>
    <w:rsid w:val="002E77CD"/>
    <w:rsid w:val="0034456D"/>
    <w:rsid w:val="00356C1D"/>
    <w:rsid w:val="00375561"/>
    <w:rsid w:val="003A53AB"/>
    <w:rsid w:val="003A57DE"/>
    <w:rsid w:val="003E1BB0"/>
    <w:rsid w:val="003E4479"/>
    <w:rsid w:val="003F0760"/>
    <w:rsid w:val="00417A59"/>
    <w:rsid w:val="0049151B"/>
    <w:rsid w:val="004B405C"/>
    <w:rsid w:val="004E12A1"/>
    <w:rsid w:val="004F26B7"/>
    <w:rsid w:val="004F365C"/>
    <w:rsid w:val="00520D36"/>
    <w:rsid w:val="005D5F52"/>
    <w:rsid w:val="0060088C"/>
    <w:rsid w:val="00632730"/>
    <w:rsid w:val="006518C7"/>
    <w:rsid w:val="006D74B4"/>
    <w:rsid w:val="00761688"/>
    <w:rsid w:val="007701D2"/>
    <w:rsid w:val="007728D9"/>
    <w:rsid w:val="007751A0"/>
    <w:rsid w:val="0079477D"/>
    <w:rsid w:val="007C30B1"/>
    <w:rsid w:val="007D435F"/>
    <w:rsid w:val="007F0760"/>
    <w:rsid w:val="00890A1D"/>
    <w:rsid w:val="008B1280"/>
    <w:rsid w:val="008D1E76"/>
    <w:rsid w:val="00951B77"/>
    <w:rsid w:val="00993FD1"/>
    <w:rsid w:val="00A43CC9"/>
    <w:rsid w:val="00A51F7D"/>
    <w:rsid w:val="00A5509C"/>
    <w:rsid w:val="00A60792"/>
    <w:rsid w:val="00A71D37"/>
    <w:rsid w:val="00AE6ADD"/>
    <w:rsid w:val="00B63EBE"/>
    <w:rsid w:val="00C5128B"/>
    <w:rsid w:val="00CA3969"/>
    <w:rsid w:val="00D70DF3"/>
    <w:rsid w:val="00D71451"/>
    <w:rsid w:val="00D76E91"/>
    <w:rsid w:val="00D76EA3"/>
    <w:rsid w:val="00DA1536"/>
    <w:rsid w:val="00DA4E51"/>
    <w:rsid w:val="00DB1297"/>
    <w:rsid w:val="00DB28A8"/>
    <w:rsid w:val="00E06059"/>
    <w:rsid w:val="00E141A3"/>
    <w:rsid w:val="00E30335"/>
    <w:rsid w:val="00EB6312"/>
    <w:rsid w:val="00ED39EF"/>
    <w:rsid w:val="00F57AD8"/>
    <w:rsid w:val="00F72135"/>
    <w:rsid w:val="00F80376"/>
    <w:rsid w:val="00FF11D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2C5C"/>
  <w15:chartTrackingRefBased/>
  <w15:docId w15:val="{1A88A43A-4988-4486-8847-94F2BE8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97"/>
    <w:pPr>
      <w:ind w:left="480"/>
    </w:pPr>
  </w:style>
  <w:style w:type="paragraph" w:styleId="Web">
    <w:name w:val="Normal (Web)"/>
    <w:basedOn w:val="a"/>
    <w:uiPriority w:val="99"/>
    <w:unhideWhenUsed/>
    <w:qFormat/>
    <w:rsid w:val="00DB1297"/>
    <w:pPr>
      <w:widowControl/>
      <w:spacing w:beforeAutospacing="1" w:afterAutospacing="1"/>
    </w:pPr>
    <w:rPr>
      <w:rFonts w:ascii="新細明體" w:eastAsia="新細明體" w:hAnsi="新細明體" w:cs="新細明體"/>
      <w:kern w:val="0"/>
      <w:szCs w:val="24"/>
    </w:rPr>
  </w:style>
  <w:style w:type="paragraph" w:styleId="a4">
    <w:name w:val="Plain Text"/>
    <w:basedOn w:val="a"/>
    <w:link w:val="1"/>
    <w:qFormat/>
    <w:rsid w:val="00DB1297"/>
    <w:rPr>
      <w:rFonts w:ascii="細明體" w:eastAsia="細明體" w:hAnsi="細明體" w:cs="Courier New"/>
      <w:szCs w:val="24"/>
    </w:rPr>
  </w:style>
  <w:style w:type="character" w:customStyle="1" w:styleId="a5">
    <w:name w:val="純文字 字元"/>
    <w:basedOn w:val="a0"/>
    <w:uiPriority w:val="99"/>
    <w:semiHidden/>
    <w:rsid w:val="00DB1297"/>
    <w:rPr>
      <w:rFonts w:ascii="細明體" w:eastAsia="細明體" w:hAnsi="Courier New" w:cs="Courier New"/>
    </w:rPr>
  </w:style>
  <w:style w:type="table" w:styleId="a6">
    <w:name w:val="Table Grid"/>
    <w:basedOn w:val="a1"/>
    <w:uiPriority w:val="59"/>
    <w:rsid w:val="00DB129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純文字 字元1"/>
    <w:basedOn w:val="a0"/>
    <w:link w:val="a4"/>
    <w:rsid w:val="00DB1297"/>
    <w:rPr>
      <w:rFonts w:ascii="細明體" w:eastAsia="細明體" w:hAnsi="細明體" w:cs="Courier New"/>
      <w:szCs w:val="24"/>
    </w:rPr>
  </w:style>
  <w:style w:type="paragraph" w:styleId="a7">
    <w:name w:val="header"/>
    <w:basedOn w:val="a"/>
    <w:link w:val="a8"/>
    <w:uiPriority w:val="99"/>
    <w:unhideWhenUsed/>
    <w:rsid w:val="0060088C"/>
    <w:pPr>
      <w:tabs>
        <w:tab w:val="center" w:pos="4153"/>
        <w:tab w:val="right" w:pos="8306"/>
      </w:tabs>
      <w:snapToGrid w:val="0"/>
    </w:pPr>
    <w:rPr>
      <w:sz w:val="20"/>
      <w:szCs w:val="20"/>
    </w:rPr>
  </w:style>
  <w:style w:type="character" w:customStyle="1" w:styleId="a8">
    <w:name w:val="頁首 字元"/>
    <w:basedOn w:val="a0"/>
    <w:link w:val="a7"/>
    <w:uiPriority w:val="99"/>
    <w:rsid w:val="0060088C"/>
    <w:rPr>
      <w:sz w:val="20"/>
      <w:szCs w:val="20"/>
    </w:rPr>
  </w:style>
  <w:style w:type="paragraph" w:styleId="a9">
    <w:name w:val="footer"/>
    <w:basedOn w:val="a"/>
    <w:link w:val="aa"/>
    <w:uiPriority w:val="99"/>
    <w:unhideWhenUsed/>
    <w:rsid w:val="0060088C"/>
    <w:pPr>
      <w:tabs>
        <w:tab w:val="center" w:pos="4153"/>
        <w:tab w:val="right" w:pos="8306"/>
      </w:tabs>
      <w:snapToGrid w:val="0"/>
    </w:pPr>
    <w:rPr>
      <w:sz w:val="20"/>
      <w:szCs w:val="20"/>
    </w:rPr>
  </w:style>
  <w:style w:type="character" w:customStyle="1" w:styleId="aa">
    <w:name w:val="頁尾 字元"/>
    <w:basedOn w:val="a0"/>
    <w:link w:val="a9"/>
    <w:uiPriority w:val="99"/>
    <w:rsid w:val="006008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8941">
      <w:bodyDiv w:val="1"/>
      <w:marLeft w:val="0"/>
      <w:marRight w:val="0"/>
      <w:marTop w:val="0"/>
      <w:marBottom w:val="0"/>
      <w:divBdr>
        <w:top w:val="none" w:sz="0" w:space="0" w:color="auto"/>
        <w:left w:val="none" w:sz="0" w:space="0" w:color="auto"/>
        <w:bottom w:val="none" w:sz="0" w:space="0" w:color="auto"/>
        <w:right w:val="none" w:sz="0" w:space="0" w:color="auto"/>
      </w:divBdr>
    </w:div>
    <w:div w:id="1248881688">
      <w:bodyDiv w:val="1"/>
      <w:marLeft w:val="0"/>
      <w:marRight w:val="0"/>
      <w:marTop w:val="0"/>
      <w:marBottom w:val="0"/>
      <w:divBdr>
        <w:top w:val="none" w:sz="0" w:space="0" w:color="auto"/>
        <w:left w:val="none" w:sz="0" w:space="0" w:color="auto"/>
        <w:bottom w:val="none" w:sz="0" w:space="0" w:color="auto"/>
        <w:right w:val="none" w:sz="0" w:space="0" w:color="auto"/>
      </w:divBdr>
    </w:div>
    <w:div w:id="15960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2024-12-05T02:07:00Z</dcterms:created>
  <dcterms:modified xsi:type="dcterms:W3CDTF">2024-12-05T03:19:00Z</dcterms:modified>
</cp:coreProperties>
</file>